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72" w:rsidRDefault="00D67335" w:rsidP="00D6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 при государственном учреждении здравоохранения «Городская больница № 7 г. Тулы»</w:t>
      </w:r>
    </w:p>
    <w:p w:rsidR="00D67335" w:rsidRDefault="00D67335" w:rsidP="00D6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35" w:rsidRDefault="00D67335" w:rsidP="00D67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67335" w:rsidRDefault="00966719" w:rsidP="00D6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287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 октября</w:t>
      </w:r>
      <w:r w:rsidR="00E119C9">
        <w:rPr>
          <w:rFonts w:ascii="Times New Roman" w:hAnsi="Times New Roman" w:cs="Times New Roman"/>
          <w:sz w:val="24"/>
          <w:szCs w:val="24"/>
        </w:rPr>
        <w:t xml:space="preserve"> 20</w:t>
      </w:r>
      <w:r w:rsidR="00CB221B">
        <w:rPr>
          <w:rFonts w:ascii="Times New Roman" w:hAnsi="Times New Roman" w:cs="Times New Roman"/>
          <w:sz w:val="24"/>
          <w:szCs w:val="24"/>
        </w:rPr>
        <w:t>20</w:t>
      </w:r>
      <w:r w:rsidR="00D6733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E55E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620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10</w:t>
      </w:r>
    </w:p>
    <w:p w:rsidR="00892A11" w:rsidRDefault="00892A11" w:rsidP="00343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A11" w:rsidRDefault="00892A11" w:rsidP="00343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74B" w:rsidRDefault="00A0774B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27">
        <w:rPr>
          <w:rFonts w:ascii="Times New Roman" w:hAnsi="Times New Roman" w:cs="Times New Roman"/>
          <w:sz w:val="24"/>
          <w:szCs w:val="24"/>
        </w:rPr>
        <w:t>Председател</w:t>
      </w:r>
      <w:r w:rsidR="00F4287B">
        <w:rPr>
          <w:rFonts w:ascii="Times New Roman" w:hAnsi="Times New Roman" w:cs="Times New Roman"/>
          <w:sz w:val="24"/>
          <w:szCs w:val="24"/>
        </w:rPr>
        <w:t>ь Совета</w:t>
      </w:r>
      <w:r w:rsidRPr="00343227">
        <w:rPr>
          <w:rFonts w:ascii="Times New Roman" w:hAnsi="Times New Roman" w:cs="Times New Roman"/>
          <w:sz w:val="24"/>
          <w:szCs w:val="24"/>
        </w:rPr>
        <w:t xml:space="preserve">: </w:t>
      </w:r>
      <w:r w:rsidR="00F4287B">
        <w:rPr>
          <w:rFonts w:ascii="Times New Roman" w:hAnsi="Times New Roman" w:cs="Times New Roman"/>
          <w:sz w:val="24"/>
          <w:szCs w:val="24"/>
        </w:rPr>
        <w:t>Кошелев Владимир Владимирович</w:t>
      </w:r>
      <w:r w:rsidRPr="00343227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r w:rsidR="00F4287B">
        <w:rPr>
          <w:rFonts w:ascii="Times New Roman" w:hAnsi="Times New Roman" w:cs="Times New Roman"/>
          <w:sz w:val="24"/>
          <w:szCs w:val="24"/>
        </w:rPr>
        <w:t>Совета ветеранов ПАО «Тульский оружейный завод»</w:t>
      </w:r>
    </w:p>
    <w:p w:rsidR="00A0774B" w:rsidRDefault="00F4287B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0774B">
        <w:rPr>
          <w:rFonts w:ascii="Times New Roman" w:hAnsi="Times New Roman" w:cs="Times New Roman"/>
          <w:sz w:val="24"/>
          <w:szCs w:val="24"/>
        </w:rPr>
        <w:t xml:space="preserve"> </w:t>
      </w:r>
      <w:r w:rsidR="00CB221B">
        <w:rPr>
          <w:rFonts w:ascii="Times New Roman" w:hAnsi="Times New Roman" w:cs="Times New Roman"/>
          <w:sz w:val="24"/>
          <w:szCs w:val="24"/>
        </w:rPr>
        <w:t>Семенова Елена Борисовна</w:t>
      </w:r>
      <w:r w:rsidR="00A0774B">
        <w:rPr>
          <w:rFonts w:ascii="Times New Roman" w:hAnsi="Times New Roman" w:cs="Times New Roman"/>
          <w:sz w:val="24"/>
          <w:szCs w:val="24"/>
        </w:rPr>
        <w:t xml:space="preserve"> – юрисконсульт ГУЗ «Городская больница № 7 г. Тулы»</w:t>
      </w:r>
    </w:p>
    <w:p w:rsidR="00A0774B" w:rsidRDefault="00F4287B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</w:t>
      </w:r>
      <w:r w:rsidR="00A0774B" w:rsidRPr="003432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74B" w:rsidRPr="00343227" w:rsidRDefault="00A0774B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227">
        <w:rPr>
          <w:rFonts w:ascii="Times New Roman" w:hAnsi="Times New Roman" w:cs="Times New Roman"/>
          <w:sz w:val="24"/>
          <w:szCs w:val="24"/>
        </w:rPr>
        <w:t xml:space="preserve">- </w:t>
      </w:r>
      <w:r w:rsidR="00F4287B">
        <w:rPr>
          <w:rFonts w:ascii="Times New Roman" w:hAnsi="Times New Roman" w:cs="Times New Roman"/>
          <w:sz w:val="24"/>
          <w:szCs w:val="24"/>
        </w:rPr>
        <w:t>Денисова Татьяна Яковлевна – Заместитель председателя Совета ветеранов ПАО «Тульский оружейный завод</w:t>
      </w:r>
      <w:r w:rsidR="00C45E52">
        <w:rPr>
          <w:rFonts w:ascii="Times New Roman" w:hAnsi="Times New Roman" w:cs="Times New Roman"/>
          <w:sz w:val="24"/>
          <w:szCs w:val="24"/>
        </w:rPr>
        <w:t>», председатель комиссии по здравоохранению и отдыху, председатель первичной организации Общества инвалидов Советского района г. Тулы;</w:t>
      </w:r>
    </w:p>
    <w:p w:rsidR="00A0774B" w:rsidRDefault="00A0774B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Зиновьев Вячеслав Алексеевич – председатель первичной профсоюзной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ТулаТОЧМАШ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774B" w:rsidRDefault="00C45E52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Скорых Вячеслав Петрович – директор ООО «СКАФ».</w:t>
      </w:r>
    </w:p>
    <w:p w:rsidR="00C45E52" w:rsidRPr="00343227" w:rsidRDefault="00C45E52" w:rsidP="00A077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E58" w:rsidRPr="009C5E58" w:rsidRDefault="009C5E58" w:rsidP="009C5E5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E58">
        <w:rPr>
          <w:rFonts w:ascii="Times New Roman" w:hAnsi="Times New Roman" w:cs="Times New Roman"/>
          <w:sz w:val="24"/>
          <w:szCs w:val="24"/>
        </w:rPr>
        <w:t>Повестка:</w:t>
      </w:r>
    </w:p>
    <w:p w:rsidR="00966719" w:rsidRPr="00123DCD" w:rsidRDefault="00966719" w:rsidP="0096671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5E52">
        <w:rPr>
          <w:rFonts w:ascii="Times New Roman" w:hAnsi="Times New Roman" w:cs="Times New Roman"/>
          <w:b/>
          <w:sz w:val="24"/>
          <w:szCs w:val="24"/>
        </w:rPr>
        <w:t>Анализ показателей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ГУЗ «Городская больница № 7 г. Тулы» </w:t>
      </w:r>
    </w:p>
    <w:p w:rsidR="00966719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719" w:rsidRDefault="00C45E52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Новичков Геннадий Михайлович</w:t>
      </w:r>
      <w:r w:rsidR="00966719" w:rsidRPr="0012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19" w:rsidRPr="00123DCD">
        <w:rPr>
          <w:rFonts w:ascii="Times New Roman" w:hAnsi="Times New Roman" w:cs="Times New Roman"/>
          <w:sz w:val="24"/>
          <w:szCs w:val="24"/>
        </w:rPr>
        <w:t>–</w:t>
      </w:r>
      <w:r w:rsidR="00966719" w:rsidRPr="0012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719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</w:t>
      </w:r>
      <w:r>
        <w:rPr>
          <w:rFonts w:ascii="Times New Roman" w:hAnsi="Times New Roman" w:cs="Times New Roman"/>
          <w:sz w:val="24"/>
          <w:szCs w:val="24"/>
        </w:rPr>
        <w:t>лечебной</w:t>
      </w:r>
      <w:r w:rsidR="00966719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966719" w:rsidRPr="00123DCD">
        <w:rPr>
          <w:rFonts w:ascii="Times New Roman" w:hAnsi="Times New Roman" w:cs="Times New Roman"/>
          <w:sz w:val="24"/>
          <w:szCs w:val="24"/>
        </w:rPr>
        <w:t>ГУЗ «Городская больница № 7 г. Тулы»</w:t>
      </w:r>
      <w:r w:rsidR="00966719">
        <w:rPr>
          <w:rFonts w:ascii="Times New Roman" w:hAnsi="Times New Roman" w:cs="Times New Roman"/>
          <w:sz w:val="24"/>
          <w:szCs w:val="24"/>
        </w:rPr>
        <w:t>.</w:t>
      </w:r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Система показателей разрабатывается в каждой организации и отражает ее специфику и приоритеты. Для этого в учреждении формируется оптимальная организационная структура, в наибольшей степени приспособленная к решению стратегических задач и реализации функциональных стратегий. Особое место занимает оценка</w:t>
      </w:r>
      <w:r>
        <w:rPr>
          <w:rFonts w:ascii="Times New Roman" w:hAnsi="Times New Roman" w:cs="Times New Roman"/>
          <w:sz w:val="24"/>
          <w:szCs w:val="24"/>
        </w:rPr>
        <w:t xml:space="preserve"> ресурсного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404F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F33">
        <w:rPr>
          <w:rFonts w:ascii="Times New Roman" w:hAnsi="Times New Roman" w:cs="Times New Roman"/>
          <w:sz w:val="24"/>
          <w:szCs w:val="24"/>
        </w:rPr>
        <w:t xml:space="preserve"> поэтому важным моментом в сфере улучшения качества и минимизации затрат является оценка так называемой функции потерь. Согласно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>, характеристикой качества являются затраты и потери, возникающие в результате любого отклонен</w:t>
      </w:r>
      <w:r>
        <w:rPr>
          <w:rFonts w:ascii="Times New Roman" w:hAnsi="Times New Roman" w:cs="Times New Roman"/>
          <w:sz w:val="24"/>
          <w:szCs w:val="24"/>
        </w:rPr>
        <w:t>ия от необходимого качества</w:t>
      </w:r>
      <w:r w:rsidRPr="00404F33">
        <w:rPr>
          <w:rFonts w:ascii="Times New Roman" w:hAnsi="Times New Roman" w:cs="Times New Roman"/>
          <w:sz w:val="24"/>
          <w:szCs w:val="24"/>
        </w:rPr>
        <w:t xml:space="preserve">. Г. </w:t>
      </w:r>
      <w:proofErr w:type="spellStart"/>
      <w:r w:rsidRPr="00404F33">
        <w:rPr>
          <w:rFonts w:ascii="Times New Roman" w:hAnsi="Times New Roman" w:cs="Times New Roman"/>
          <w:sz w:val="24"/>
          <w:szCs w:val="24"/>
        </w:rPr>
        <w:t>Тагути</w:t>
      </w:r>
      <w:proofErr w:type="spellEnd"/>
      <w:r w:rsidRPr="00404F33">
        <w:rPr>
          <w:rFonts w:ascii="Times New Roman" w:hAnsi="Times New Roman" w:cs="Times New Roman"/>
          <w:sz w:val="24"/>
          <w:szCs w:val="24"/>
        </w:rPr>
        <w:t xml:space="preserve"> определяет потери как функцию коэффициента потерь, умноженного на квадрат разности между необходимым и полученным уровнем качества. При этом потери качества растут в квадратичной зависимости по мере отклонения полученных значений качества от необходимых показателей. Например, потери по времени обслуживания пациента в 2 раза приводят к 4-кратному росту затрат на МП за счет возможных осложнений. Стоимость профилактики дефектов составляет в общей стоимости услуг 25%, а доля стоимости устранения последствий дефектов достигает около 3/4 стоимости услуг. В мировой практике за эталонный целевой стандарт качества принимаются верхняя и нижняя границы допуска для каждого показателя, находящиеся на расстоянии</w:t>
      </w:r>
      <w:r>
        <w:rPr>
          <w:rFonts w:ascii="Times New Roman" w:hAnsi="Times New Roman" w:cs="Times New Roman"/>
          <w:sz w:val="24"/>
          <w:szCs w:val="24"/>
        </w:rPr>
        <w:t xml:space="preserve"> ± 6 δ от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 .</w:t>
      </w:r>
      <w:proofErr w:type="gramEnd"/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В современных условиях система управления качеством в здравоохранении ориентирована на разработку и утверждение стандартов (в том числе протоколов ведения больных), охватывающих как основные виды деятельности, так и работу обеспечивающих служб, а также на создание системы разрешительных и контрольных механизмов, поиск мер устран</w:t>
      </w:r>
      <w:r>
        <w:rPr>
          <w:rFonts w:ascii="Times New Roman" w:hAnsi="Times New Roman" w:cs="Times New Roman"/>
          <w:sz w:val="24"/>
          <w:szCs w:val="24"/>
        </w:rPr>
        <w:t>ения и предупреждения дефектов.</w:t>
      </w:r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Считается, что повышение качества МП неизбежно требует дополнительных затрат времени, усилий и ресурсов. Однако привлечение дополнительных ресурсов вовсе не гарантирует повышение КМП. В то же время внедрение стандартов может привести к «выравниванию» качества и минимизации расходов. Повышение качества МП (на первом этапе – правильная диагностика) способствует росту эффективности, сокращению сроков </w:t>
      </w:r>
      <w:r w:rsidRPr="00404F33">
        <w:rPr>
          <w:rFonts w:ascii="Times New Roman" w:hAnsi="Times New Roman" w:cs="Times New Roman"/>
          <w:sz w:val="24"/>
          <w:szCs w:val="24"/>
        </w:rPr>
        <w:lastRenderedPageBreak/>
        <w:t>лечения, снижению частоты повторных госпитализаций и осложнений, что существенно уменьш</w:t>
      </w:r>
      <w:r>
        <w:rPr>
          <w:rFonts w:ascii="Times New Roman" w:hAnsi="Times New Roman" w:cs="Times New Roman"/>
          <w:sz w:val="24"/>
          <w:szCs w:val="24"/>
        </w:rPr>
        <w:t>ает расходы на здравоохранение.</w:t>
      </w:r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С развитием доказательной медицины становится очевидным, что многие клинические и организационные аспекты оказания медицинской помощи требуют пересмотра законодательных и регулирующих механизмов, в том числе в нашей республике. В первую очередь необходима многоуровневая система управления, оценки и мониторинга качества и экспертизы медицинской помощи, увязанная с системой мониторинга ресурсов, затрачиваемых на ее оказание, в качестве которой может выступать система национальных счетов. Важное значение имеет создание института стандартизации медицинской помощи, осуществляемой на основании клинических руководств, протоколов ведения больных, стандартов диагностики и лечения, имеющих соответствующий </w:t>
      </w:r>
      <w:r>
        <w:rPr>
          <w:rFonts w:ascii="Times New Roman" w:hAnsi="Times New Roman" w:cs="Times New Roman"/>
          <w:sz w:val="24"/>
          <w:szCs w:val="24"/>
        </w:rPr>
        <w:t>правовой статус.</w:t>
      </w:r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Создание и тиражирование по регионам республики центров высокотехнологичных видов медицинской помощи, несомненно, способствует повышению качества МП и формированию у населения и медработников мнения относительно того, каким должен быть уровень медицинского обслуживания, включая медицинский сервис. Однако не следует забывать, что в центрах высокотехнологичных видов МП оказывается менее 1% объема медицинской помощи и медицинских услуг, а в обычной поликлинике, стационаре и даже в клинической больнице качество медицинской помощи, мягко говоря, оставляет желать лучшего. О медицинском се</w:t>
      </w:r>
      <w:r>
        <w:rPr>
          <w:rFonts w:ascii="Times New Roman" w:hAnsi="Times New Roman" w:cs="Times New Roman"/>
          <w:sz w:val="24"/>
          <w:szCs w:val="24"/>
        </w:rPr>
        <w:t>рвисе и говорить не приходится.</w:t>
      </w:r>
    </w:p>
    <w:p w:rsidR="00966719" w:rsidRPr="00404F33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 xml:space="preserve">В связи с этим целесообразно сформировать несколько образцовых организаций здравоохранения (поликлиник, стационаров, клинических больниц), в которых будет решен вопрос качества медицинской помощи и медицинского сервиса с требуемым оснащением современным оборудованием и которые будут укомплектованы хорошо оплачиваемыми, аттестованными медицинскими работниками высокой квалификации и </w:t>
      </w:r>
      <w:r>
        <w:rPr>
          <w:rFonts w:ascii="Times New Roman" w:hAnsi="Times New Roman" w:cs="Times New Roman"/>
          <w:sz w:val="24"/>
          <w:szCs w:val="24"/>
        </w:rPr>
        <w:t>профессиональной культуры.</w:t>
      </w:r>
    </w:p>
    <w:p w:rsidR="00966719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33">
        <w:rPr>
          <w:rFonts w:ascii="Times New Roman" w:hAnsi="Times New Roman" w:cs="Times New Roman"/>
          <w:sz w:val="24"/>
          <w:szCs w:val="24"/>
        </w:rPr>
        <w:t>Крайне важным для создания системы оказания качественной МП является внедрение в республике обязательного медицинского страхования (страхования финансовых рисков, связанных с оказанием МП). В настоящее время Беларусь осталась одной из немногих стран мира, где отсутствует система ОМС (среди развитых стран – наверное, единственной). А между тем внедрение системы ОМС – естественный и эволюционный процесс развития здравоохранения во всех социально ориентированных странах, не только позволяющий повысить качество МП посредством системы независимой экспертизы, но и способствующий притоку дополнительных финансовых средств в здравоохранение, конкуренции среди медицинских организаций, формированию рынка медицинских услуг, сокращению удельных расходов на оказание медицинской помощи, внедрению новых медицинских технологий, стандартизации здравоохранения и реальному использованию на практике стандартов и протоколов лечения.</w:t>
      </w:r>
    </w:p>
    <w:p w:rsidR="00F146CE" w:rsidRPr="00F146CE" w:rsidRDefault="0011227D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146CE" w:rsidRPr="00F146CE">
        <w:rPr>
          <w:rFonts w:ascii="Times New Roman" w:hAnsi="Times New Roman" w:cs="Times New Roman"/>
          <w:sz w:val="24"/>
          <w:szCs w:val="24"/>
        </w:rPr>
        <w:t>бщие сведения об учреждении содержатся в статистической отчетной форме № 30 «Сведения о лечебно-профилактическом учреждении».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 Общие показатели.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1.1 Одним из показателей, характеризующих доступность медицинской помощи населению, является обеспеченность населения </w:t>
      </w:r>
      <w:hyperlink r:id="rId7" w:history="1">
        <w:r w:rsidRPr="00F146CE">
          <w:rPr>
            <w:rFonts w:ascii="Times New Roman" w:hAnsi="Times New Roman" w:cs="Times New Roman"/>
            <w:sz w:val="24"/>
            <w:szCs w:val="24"/>
          </w:rPr>
          <w:t>медицинскими кадрами</w:t>
        </w:r>
      </w:hyperlink>
      <w:r w:rsidRPr="00F146CE">
        <w:rPr>
          <w:rFonts w:ascii="Times New Roman" w:hAnsi="Times New Roman" w:cs="Times New Roman"/>
          <w:sz w:val="24"/>
          <w:szCs w:val="24"/>
        </w:rPr>
        <w:t>. Расчет показателя проводится на 10 тысяч человек населения, обслуживаемого данным ЛПУ.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9"/>
        <w:gridCol w:w="196"/>
        <w:gridCol w:w="2058"/>
        <w:gridCol w:w="802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  Число врачей в ЛПУ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 10 000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населения, обслуживаемого данным ЛПУ на конец года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Расчет показателя проводится по каждой врачебной специальности и в целом по ЛПУ, а также отдельно по стационару и поликлинике.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1.2 Укомплектованность учреждения медицинским персоналом характеризуется соотношением занятых и штатных должностей в процентном выражении. Показатель рассчитывается отдельно по врачам, среднему и младшему медицинскому персоналу, по различным специальностям медицинских работников, а также для ЛПУ в целом или отдельно для поликлиники и стационара.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1"/>
        <w:gridCol w:w="196"/>
        <w:gridCol w:w="2860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занятых должностей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штатных должностей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1.3 Коэффициент совместительства характеризует объем занимаемых должностей одним физическим лицом. Показатель рассчитывается для врачей, среднего и </w:t>
      </w:r>
      <w:hyperlink r:id="rId8" w:history="1">
        <w:r w:rsidRPr="00F146CE">
          <w:rPr>
            <w:rFonts w:ascii="Times New Roman" w:hAnsi="Times New Roman" w:cs="Times New Roman"/>
            <w:sz w:val="24"/>
            <w:szCs w:val="24"/>
          </w:rPr>
          <w:t>младшего медицинского персонала</w:t>
        </w:r>
      </w:hyperlink>
      <w:r w:rsidRPr="00F146CE">
        <w:rPr>
          <w:rFonts w:ascii="Times New Roman" w:hAnsi="Times New Roman" w:cs="Times New Roman"/>
          <w:sz w:val="24"/>
          <w:szCs w:val="24"/>
        </w:rPr>
        <w:t>, по различным специальностям медицинских работников, а также для ЛПУ в целом или отдельно для поликлиники и стационара.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1"/>
        <w:gridCol w:w="196"/>
        <w:gridCol w:w="4398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Коэффициент совместительства терапевтов в поликлинике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занятых должностей терапевтов в поликлинике*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физических лиц терапевтов в поликлинике*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1.4 Структура медицинского персонала. Расчет структуры медицинских работников обычно проводится по занятым должностям, но иногда этот показатель вычисляют по физическим лицам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9"/>
        <w:gridCol w:w="196"/>
        <w:gridCol w:w="3585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Удельный вес занятых врачебных должностей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занятых врачебных должностей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занятых должностей медицинских работников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1.5 Квалификация медицинского персонала анализируется по форме № 17 «Сведения о медицинских и фармацевтических кадрах»: удельный вес имеющих высшую, первую и вторую категорию, имеющих сертификат в %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 Поликлиника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2.1 Основным показателем оценки объема </w:t>
      </w:r>
      <w:hyperlink r:id="rId9" w:history="1">
        <w:r w:rsidRPr="00F146CE">
          <w:rPr>
            <w:rFonts w:ascii="Times New Roman" w:hAnsi="Times New Roman" w:cs="Times New Roman"/>
            <w:sz w:val="24"/>
            <w:szCs w:val="24"/>
          </w:rPr>
          <w:t>амбулаторно-поликлинической помощи</w:t>
        </w:r>
      </w:hyperlink>
      <w:r w:rsidRPr="00F146CE">
        <w:rPr>
          <w:rFonts w:ascii="Times New Roman" w:hAnsi="Times New Roman" w:cs="Times New Roman"/>
          <w:sz w:val="24"/>
          <w:szCs w:val="24"/>
        </w:rPr>
        <w:t>, оказываемой населению, является число посещений выполненных на 1 жителя за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196"/>
        <w:gridCol w:w="4506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посещений на одного жителя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посещений врачей в поликлинике + + Число посещений врачами на дому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прикрепленного к данной поликлинике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lastRenderedPageBreak/>
        <w:t>Для планирования и оценки выполнения норматива по посещениям необходимо сопоставлять фактические показатели посещений с нормативными.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196"/>
        <w:gridCol w:w="4195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посещений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Фактическое число посещений врачей в поликлинике и на дому на 1000 человек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Нормативное число посещений врачей в поликлинике и на дому на 1000 человек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2.2. Необходимость оценить посещения по их цели.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196"/>
        <w:gridCol w:w="4197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Удельный вес посещений по поводу заболеваний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посещений врачей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16"/>
        <w:gridCol w:w="4799"/>
        <w:gridCol w:w="83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  Удельный вес профилактических посещений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  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посещений врачей — — Число посещений врачей по поводу заболеваний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  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посещений врачей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2.3. Нагрузка на врача – функция врачебной должности в год.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196"/>
        <w:gridCol w:w="5119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Нагрузка на одного врача поликлиники (консультации)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посещений врачей поликлиники (консультации) + + Число посещений врачами на дому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занятых врачебных должностей в поликлинике (консультации)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2.4. Профилактическая работа. Для характеристики организации профилактической работы поликлиники основным показателем является охват профилактическими осмотрами, который должен стремиться к 100%.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316"/>
        <w:gridCol w:w="3402"/>
        <w:gridCol w:w="83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 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  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осмотрено профилактически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  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подлежавших профилактическим осмотрам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Обязательно оценивается охват целевыми профилактическими осмотрами, например на </w:t>
      </w:r>
      <w:hyperlink r:id="rId10" w:history="1">
        <w:r w:rsidRPr="00F146CE">
          <w:rPr>
            <w:rFonts w:ascii="Times New Roman" w:hAnsi="Times New Roman" w:cs="Times New Roman"/>
            <w:sz w:val="24"/>
            <w:szCs w:val="24"/>
          </w:rPr>
          <w:t>туберкулез</w:t>
        </w:r>
      </w:hyperlink>
      <w:r w:rsidRPr="00F146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196"/>
        <w:gridCol w:w="4140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Охват осмотрами с целью выявления больных туберкулезом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осмотрено с целью выявления больных туберкулезом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прикрепленного населения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2.5. Диспансерное наблюдение за хроническими больными - охват </w:t>
      </w:r>
      <w:hyperlink r:id="rId11" w:history="1">
        <w:r w:rsidRPr="00F146CE">
          <w:rPr>
            <w:rFonts w:ascii="Times New Roman" w:hAnsi="Times New Roman" w:cs="Times New Roman"/>
            <w:sz w:val="24"/>
            <w:szCs w:val="24"/>
          </w:rPr>
          <w:t>диспансерным наблюдением</w:t>
        </w:r>
      </w:hyperlink>
      <w:r w:rsidRPr="00F146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96"/>
        <w:gridCol w:w="4555"/>
        <w:gridCol w:w="7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Охват диспансерным наблюдением больных сахарным диабетом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 больных сахарным диабетом на конец года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´100%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зарегистрировано заболеваний сахарным диабетом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 Стационар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Сведения о деятельности стационара и составе больных находятся в формах № 30 «Сведения о лечебно-профилактическом учреждении» и № 14 «Сведения о деятельности стационара».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3.1 Обеспеченность населения больничными койками всего по больнице и по всем профилям коек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196"/>
        <w:gridCol w:w="2601"/>
        <w:gridCol w:w="75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койками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коек в стационаре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3.2 Уровень госпитализации на 1000 человек населения.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196"/>
        <w:gridCol w:w="3406"/>
        <w:gridCol w:w="63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1000 человек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Поступило больных в стационар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 xml:space="preserve">Вычисляется уровень госпитализации по всем профилям коек и сравнивается с нормативом </w:t>
      </w:r>
      <w:proofErr w:type="gramStart"/>
      <w:r w:rsidRPr="00F146CE">
        <w:rPr>
          <w:rFonts w:ascii="Times New Roman" w:hAnsi="Times New Roman" w:cs="Times New Roman"/>
          <w:sz w:val="24"/>
          <w:szCs w:val="24"/>
        </w:rPr>
        <w:t>по программа</w:t>
      </w:r>
      <w:proofErr w:type="gramEnd"/>
      <w:r w:rsidRPr="00F146CE">
        <w:rPr>
          <w:rFonts w:ascii="Times New Roman" w:hAnsi="Times New Roman" w:cs="Times New Roman"/>
          <w:sz w:val="24"/>
          <w:szCs w:val="24"/>
        </w:rPr>
        <w:t xml:space="preserve"> госгарантий.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Уровень госпитализации можно рассчитать по отдельным заболеваниям, в связи с которыми проводилось </w:t>
      </w:r>
      <w:hyperlink r:id="rId12" w:history="1">
        <w:r w:rsidRPr="00F146CE">
          <w:rPr>
            <w:rFonts w:ascii="Times New Roman" w:hAnsi="Times New Roman" w:cs="Times New Roman"/>
            <w:sz w:val="24"/>
            <w:szCs w:val="24"/>
          </w:rPr>
          <w:t>стационарное лечение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196"/>
        <w:gridCol w:w="4098"/>
        <w:gridCol w:w="63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детей в связи с инфекционными и паразитарными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Выписано детей, лечившихся по поводу инфекционных и паразитарных заболеваний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детского населения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3.3 Показатели, характеризующие использование коечного фонда: работа койки (или среднее число дней занятости койки в году),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96"/>
        <w:gridCol w:w="3967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Работа койки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койко-дней, проведенных больными в стационаре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среднегодовых коек, фактически развернутых и свернутых на ремонт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оборот койки,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96"/>
        <w:gridCol w:w="3278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пользованных больных*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коек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F146CE">
        <w:rPr>
          <w:rFonts w:ascii="Times New Roman" w:hAnsi="Times New Roman" w:cs="Times New Roman"/>
          <w:sz w:val="24"/>
          <w:szCs w:val="24"/>
        </w:rPr>
        <w:t>пользованные больные это</w:t>
      </w:r>
      <w:proofErr w:type="gramEnd"/>
      <w:r w:rsidRPr="00F146CE">
        <w:rPr>
          <w:rFonts w:ascii="Times New Roman" w:hAnsi="Times New Roman" w:cs="Times New Roman"/>
          <w:sz w:val="24"/>
          <w:szCs w:val="24"/>
        </w:rPr>
        <w:t xml:space="preserve"> сумма поступивших, выбывших и умерших деленная на 2 средняя длительность пребывания в стационаре,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196"/>
        <w:gridCol w:w="4037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длительность пребывания больного на койке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проведено койко-дней в стационаре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пользованных больных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среднее время простоя койки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196"/>
        <w:gridCol w:w="4334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Среднее время простоя койки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365 (число дней в году) — Работа койки*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Оборот койки*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* показатели, рассчитанные по формулам, приведенным выше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Эти показатели рассчитываются по каждому профилю коек.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3.4 Больничная летальность рассчитывается в целом по больнице и по каждому профилю.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196"/>
        <w:gridCol w:w="3984"/>
        <w:gridCol w:w="5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умерших в стационаре (в целом или на койках отдельного профиля)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больных, выбывших из стационара (в целом или по койкам отдельного профиля)*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* число выбывших больных является суммой выписанных из стационара и умерших в стационаре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Больничную летальность можно рассчитать по отдельной причине смерти.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 xml:space="preserve">3.5 </w:t>
      </w:r>
      <w:r w:rsidRPr="00F146CE">
        <w:rPr>
          <w:rFonts w:ascii="Times New Roman" w:hAnsi="Times New Roman" w:cs="Times New Roman"/>
          <w:sz w:val="24"/>
          <w:szCs w:val="24"/>
        </w:rPr>
        <w:softHyphen/>
        <w:t>Хирургическая активность в стационаре (</w:t>
      </w:r>
      <w:hyperlink r:id="rId13" w:history="1">
        <w:r w:rsidRPr="00F146CE">
          <w:rPr>
            <w:rFonts w:ascii="Times New Roman" w:hAnsi="Times New Roman" w:cs="Times New Roman"/>
            <w:sz w:val="24"/>
            <w:szCs w:val="24"/>
          </w:rPr>
          <w:t>хирургическом отделении</w:t>
        </w:r>
      </w:hyperlink>
      <w:r w:rsidRPr="00F146CE">
        <w:rPr>
          <w:rFonts w:ascii="Times New Roman" w:hAnsi="Times New Roman" w:cs="Times New Roman"/>
          <w:sz w:val="24"/>
          <w:szCs w:val="24"/>
        </w:rPr>
        <w:t>) характеризуется следующим показателем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196"/>
        <w:gridCol w:w="4066"/>
        <w:gridCol w:w="5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оперированных на 100 лиц, выбывших из стационара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операций, проведенных в стационаре (отделении)*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лиц, выписанных и умерших в стационаре (отделении)**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3.6 Хирургическую активность врачей хирургического профиля можно оценить по показателю числа операций на 1 должность врача.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316"/>
        <w:gridCol w:w="346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операций на одного врача хирургического профиля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  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операций, проведенных в стационаре*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занятых должностей врачей хирургического профиля в стационаре**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3.7 Послеоперационная летальность всего и по каждому виду операций: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196"/>
        <w:gridCol w:w="3351"/>
        <w:gridCol w:w="515"/>
      </w:tblGrid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Летальность оперированных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Число умерших после операций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´100</w:t>
            </w:r>
          </w:p>
        </w:tc>
      </w:tr>
      <w:tr w:rsidR="00F146CE" w:rsidRPr="00F146CE" w:rsidTr="00F146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E">
              <w:rPr>
                <w:rFonts w:ascii="Times New Roman" w:hAnsi="Times New Roman" w:cs="Times New Roman"/>
                <w:sz w:val="24"/>
                <w:szCs w:val="24"/>
              </w:rPr>
              <w:t>Всего оперировано больных в стационаре*</w:t>
            </w: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46CE" w:rsidRPr="00F146CE" w:rsidRDefault="00F146CE" w:rsidP="00F14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lastRenderedPageBreak/>
        <w:t>* – при расчете показателя летальности оперированных по отдельным наименованиям операций в знаменателе используются данные не об оперированных, а о числе операций.</w:t>
      </w:r>
    </w:p>
    <w:p w:rsidR="00F146CE" w:rsidRPr="00F146CE" w:rsidRDefault="00F146CE" w:rsidP="00F146CE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4"/>
          <w:szCs w:val="24"/>
        </w:rPr>
      </w:pPr>
      <w:r w:rsidRPr="00F146CE">
        <w:rPr>
          <w:rFonts w:ascii="Times New Roman" w:hAnsi="Times New Roman" w:cs="Times New Roman"/>
          <w:sz w:val="24"/>
          <w:szCs w:val="24"/>
        </w:rPr>
        <w:t>3.8 Структура оперативных вмешательств – </w:t>
      </w:r>
      <w:hyperlink r:id="rId14" w:history="1">
        <w:r w:rsidRPr="00F146CE">
          <w:rPr>
            <w:rFonts w:ascii="Times New Roman" w:hAnsi="Times New Roman" w:cs="Times New Roman"/>
            <w:sz w:val="24"/>
            <w:szCs w:val="24"/>
          </w:rPr>
          <w:t>удельный вес</w:t>
        </w:r>
      </w:hyperlink>
      <w:r w:rsidRPr="00F146CE">
        <w:rPr>
          <w:rFonts w:ascii="Times New Roman" w:hAnsi="Times New Roman" w:cs="Times New Roman"/>
          <w:sz w:val="24"/>
          <w:szCs w:val="24"/>
        </w:rPr>
        <w:t> каждого вида операций в %.</w:t>
      </w:r>
    </w:p>
    <w:p w:rsidR="00966719" w:rsidRPr="00D67335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719" w:rsidRPr="00D67335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27D" w:rsidRDefault="0011227D" w:rsidP="0011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1227D" w:rsidRDefault="0011227D" w:rsidP="00112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                                                                                       В.</w:t>
      </w:r>
      <w:r w:rsidR="00E3121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1214">
        <w:rPr>
          <w:rFonts w:ascii="Times New Roman" w:hAnsi="Times New Roman" w:cs="Times New Roman"/>
          <w:sz w:val="24"/>
          <w:szCs w:val="24"/>
        </w:rPr>
        <w:t>Кошелев</w:t>
      </w:r>
    </w:p>
    <w:p w:rsidR="0011227D" w:rsidRDefault="0011227D" w:rsidP="00112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27D" w:rsidRDefault="0011227D" w:rsidP="001122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719" w:rsidRPr="00D67335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719" w:rsidRPr="00D67335" w:rsidRDefault="00966719" w:rsidP="009667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F6" w:rsidRPr="00D67335" w:rsidRDefault="00B110F6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335" w:rsidRPr="00D67335" w:rsidRDefault="00D67335" w:rsidP="009807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67335" w:rsidRPr="00D6733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AF" w:rsidRDefault="00B601AF" w:rsidP="00B35F67">
      <w:r>
        <w:separator/>
      </w:r>
    </w:p>
  </w:endnote>
  <w:endnote w:type="continuationSeparator" w:id="0">
    <w:p w:rsidR="00B601AF" w:rsidRDefault="00B601AF" w:rsidP="00B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209196"/>
      <w:docPartObj>
        <w:docPartGallery w:val="Page Numbers (Bottom of Page)"/>
        <w:docPartUnique/>
      </w:docPartObj>
    </w:sdtPr>
    <w:sdtEndPr/>
    <w:sdtContent>
      <w:p w:rsidR="00B35F67" w:rsidRDefault="00B35F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1B">
          <w:rPr>
            <w:noProof/>
          </w:rPr>
          <w:t>6</w:t>
        </w:r>
        <w:r>
          <w:fldChar w:fldCharType="end"/>
        </w:r>
      </w:p>
    </w:sdtContent>
  </w:sdt>
  <w:p w:rsidR="00B35F67" w:rsidRDefault="00B35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AF" w:rsidRDefault="00B601AF" w:rsidP="00B35F67">
      <w:r>
        <w:separator/>
      </w:r>
    </w:p>
  </w:footnote>
  <w:footnote w:type="continuationSeparator" w:id="0">
    <w:p w:rsidR="00B601AF" w:rsidRDefault="00B601AF" w:rsidP="00B3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V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E801B24"/>
    <w:multiLevelType w:val="hybridMultilevel"/>
    <w:tmpl w:val="066E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35"/>
    <w:rsid w:val="00011989"/>
    <w:rsid w:val="000413C9"/>
    <w:rsid w:val="00053925"/>
    <w:rsid w:val="00084B67"/>
    <w:rsid w:val="00091400"/>
    <w:rsid w:val="000F792A"/>
    <w:rsid w:val="0011227D"/>
    <w:rsid w:val="00113C4A"/>
    <w:rsid w:val="00123DCD"/>
    <w:rsid w:val="0014281C"/>
    <w:rsid w:val="00162088"/>
    <w:rsid w:val="001E0D0A"/>
    <w:rsid w:val="0023716E"/>
    <w:rsid w:val="002B366B"/>
    <w:rsid w:val="002E6B78"/>
    <w:rsid w:val="002E727A"/>
    <w:rsid w:val="002E7494"/>
    <w:rsid w:val="002F3B4B"/>
    <w:rsid w:val="002F49CA"/>
    <w:rsid w:val="00343227"/>
    <w:rsid w:val="00346C6F"/>
    <w:rsid w:val="00352FE7"/>
    <w:rsid w:val="003644CB"/>
    <w:rsid w:val="0037766B"/>
    <w:rsid w:val="003F24FD"/>
    <w:rsid w:val="00404F33"/>
    <w:rsid w:val="00407775"/>
    <w:rsid w:val="004149DB"/>
    <w:rsid w:val="0043542C"/>
    <w:rsid w:val="0043545A"/>
    <w:rsid w:val="00451713"/>
    <w:rsid w:val="00457FAC"/>
    <w:rsid w:val="004634A2"/>
    <w:rsid w:val="004A3E46"/>
    <w:rsid w:val="004D7A1F"/>
    <w:rsid w:val="00526E72"/>
    <w:rsid w:val="00532447"/>
    <w:rsid w:val="0053771B"/>
    <w:rsid w:val="00583870"/>
    <w:rsid w:val="005F738B"/>
    <w:rsid w:val="0061288B"/>
    <w:rsid w:val="00615E5C"/>
    <w:rsid w:val="00666A61"/>
    <w:rsid w:val="0071042B"/>
    <w:rsid w:val="00727402"/>
    <w:rsid w:val="00741C1F"/>
    <w:rsid w:val="0074240A"/>
    <w:rsid w:val="00755253"/>
    <w:rsid w:val="00781E12"/>
    <w:rsid w:val="007C1C0E"/>
    <w:rsid w:val="007C5454"/>
    <w:rsid w:val="008520D0"/>
    <w:rsid w:val="00886B89"/>
    <w:rsid w:val="00892A11"/>
    <w:rsid w:val="008A2804"/>
    <w:rsid w:val="008E559D"/>
    <w:rsid w:val="00907F8E"/>
    <w:rsid w:val="0094006E"/>
    <w:rsid w:val="00966719"/>
    <w:rsid w:val="00980759"/>
    <w:rsid w:val="009C16E8"/>
    <w:rsid w:val="009C5E58"/>
    <w:rsid w:val="009D0430"/>
    <w:rsid w:val="00A00480"/>
    <w:rsid w:val="00A0774B"/>
    <w:rsid w:val="00A34792"/>
    <w:rsid w:val="00AA071F"/>
    <w:rsid w:val="00AD1A8A"/>
    <w:rsid w:val="00AD76B8"/>
    <w:rsid w:val="00AE15F5"/>
    <w:rsid w:val="00AE62A1"/>
    <w:rsid w:val="00AF51B1"/>
    <w:rsid w:val="00B110F6"/>
    <w:rsid w:val="00B204D1"/>
    <w:rsid w:val="00B35F67"/>
    <w:rsid w:val="00B37447"/>
    <w:rsid w:val="00B42DB6"/>
    <w:rsid w:val="00B601AF"/>
    <w:rsid w:val="00BA20FD"/>
    <w:rsid w:val="00BB31BC"/>
    <w:rsid w:val="00BC211D"/>
    <w:rsid w:val="00BE6C6B"/>
    <w:rsid w:val="00C14A2E"/>
    <w:rsid w:val="00C175A4"/>
    <w:rsid w:val="00C27888"/>
    <w:rsid w:val="00C45E52"/>
    <w:rsid w:val="00C518EC"/>
    <w:rsid w:val="00C553C9"/>
    <w:rsid w:val="00CA2FD9"/>
    <w:rsid w:val="00CB221B"/>
    <w:rsid w:val="00CC4B36"/>
    <w:rsid w:val="00D22441"/>
    <w:rsid w:val="00D331E1"/>
    <w:rsid w:val="00D53FDD"/>
    <w:rsid w:val="00D64639"/>
    <w:rsid w:val="00D67335"/>
    <w:rsid w:val="00DB1974"/>
    <w:rsid w:val="00E053FD"/>
    <w:rsid w:val="00E119C9"/>
    <w:rsid w:val="00E31214"/>
    <w:rsid w:val="00E55E3E"/>
    <w:rsid w:val="00E56A94"/>
    <w:rsid w:val="00E71268"/>
    <w:rsid w:val="00E8302C"/>
    <w:rsid w:val="00E97D0B"/>
    <w:rsid w:val="00EC6D60"/>
    <w:rsid w:val="00ED605A"/>
    <w:rsid w:val="00F146CE"/>
    <w:rsid w:val="00F40293"/>
    <w:rsid w:val="00F40AA4"/>
    <w:rsid w:val="00F41AD9"/>
    <w:rsid w:val="00F4287B"/>
    <w:rsid w:val="00F473D8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10D8"/>
  <w15:docId w15:val="{5A138494-BA76-441D-A3F1-7FCB3AD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92A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5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5F67"/>
  </w:style>
  <w:style w:type="paragraph" w:styleId="a8">
    <w:name w:val="footer"/>
    <w:basedOn w:val="a"/>
    <w:link w:val="a9"/>
    <w:uiPriority w:val="99"/>
    <w:unhideWhenUsed/>
    <w:rsid w:val="00B35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3_8216_mladshiy-meditsinskiy-personal.html" TargetMode="External"/><Relationship Id="rId13" Type="http://schemas.openxmlformats.org/officeDocument/2006/relationships/hyperlink" Target="https://studopedia.ru/13_22023_hirurgicheskoe-otdel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9_131867_obespechennost-meditsinskimi-kadrami.html" TargetMode="External"/><Relationship Id="rId12" Type="http://schemas.openxmlformats.org/officeDocument/2006/relationships/hyperlink" Target="https://studopedia.ru/13_113225_statsionarnoe-lecheni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opedia.ru/15_119874_dispansernoe-nablyudeni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opedia.ru/10_2855_tuberkule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2_125712_ambulatorno-poliklinicheskaya-meditsinskaya-pomoshch.html" TargetMode="External"/><Relationship Id="rId14" Type="http://schemas.openxmlformats.org/officeDocument/2006/relationships/hyperlink" Target="https://studopedia.ru/3_124651_udelniy-v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Елена Борисовна Семенова</cp:lastModifiedBy>
  <cp:revision>4</cp:revision>
  <cp:lastPrinted>2020-01-31T07:46:00Z</cp:lastPrinted>
  <dcterms:created xsi:type="dcterms:W3CDTF">2020-01-31T07:02:00Z</dcterms:created>
  <dcterms:modified xsi:type="dcterms:W3CDTF">2020-12-23T08:34:00Z</dcterms:modified>
</cp:coreProperties>
</file>